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napToGrid w:val="0"/>
        <w:spacing w:line="600" w:lineRule="exact"/>
        <w:ind w:firstLine="0"/>
        <w:jc w:val="right"/>
        <w:rPr>
          <w:lang w:eastAsia="zh-CN"/>
        </w:rPr>
      </w:pPr>
    </w:p>
    <w:p>
      <w:pPr>
        <w:pStyle w:val="12"/>
        <w:snapToGrid w:val="0"/>
        <w:spacing w:line="600" w:lineRule="exact"/>
        <w:ind w:firstLine="0"/>
        <w:jc w:val="right"/>
        <w:rPr>
          <w:rFonts w:hint="eastAsia"/>
          <w:lang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0" w:line="560" w:lineRule="exact"/>
        <w:ind w:firstLine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津教职函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〔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24"/>
          <w:lang w:val="en-US" w:eastAsia="zh-CN" w:bidi="ar-SA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bookmark3"/>
      <w:bookmarkStart w:id="1" w:name="bookmark4"/>
      <w:bookmarkStart w:id="2" w:name="bookmark5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关于做好天津市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1+X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证书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申报工作的通知</w:t>
      </w:r>
      <w:bookmarkEnd w:id="0"/>
      <w:bookmarkEnd w:id="1"/>
      <w:bookmarkEnd w:id="2"/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各职业院校、有关高等学校：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6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教育部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en-US"/>
        </w:rPr>
        <w:t>1+X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证书制度试点工作安排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结合我市工作实际，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启动本年度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 w:bidi="en-US"/>
        </w:rPr>
        <w:t>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证书申报工作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要求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通知如下：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13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60"/>
        <w:jc w:val="both"/>
        <w:textAlignment w:val="auto"/>
        <w:rPr>
          <w:rFonts w:ascii="黑体" w:hAnsi="黑体" w:eastAsia="黑体" w:cs="Times New Roman"/>
          <w:sz w:val="32"/>
          <w:szCs w:val="32"/>
        </w:rPr>
      </w:pPr>
      <w:bookmarkStart w:id="3" w:name="bookmark6"/>
      <w:r>
        <w:rPr>
          <w:rFonts w:ascii="黑体" w:hAnsi="黑体" w:eastAsia="黑体" w:cs="Times New Roman"/>
          <w:sz w:val="32"/>
          <w:szCs w:val="32"/>
        </w:rPr>
        <w:t>一</w:t>
      </w:r>
      <w:bookmarkEnd w:id="3"/>
      <w:r>
        <w:rPr>
          <w:rFonts w:ascii="黑体" w:hAnsi="黑体" w:eastAsia="黑体" w:cs="Times New Roman"/>
          <w:sz w:val="32"/>
          <w:szCs w:val="32"/>
        </w:rPr>
        <w:t>、</w:t>
      </w:r>
      <w:r>
        <w:rPr>
          <w:rFonts w:ascii="黑体" w:hAnsi="黑体" w:eastAsia="黑体" w:cs="Times New Roman"/>
          <w:sz w:val="32"/>
          <w:szCs w:val="32"/>
        </w:rPr>
        <w:tab/>
      </w:r>
      <w:r>
        <w:rPr>
          <w:rFonts w:ascii="黑体" w:hAnsi="黑体" w:eastAsia="黑体" w:cs="Times New Roman"/>
          <w:sz w:val="32"/>
          <w:szCs w:val="32"/>
        </w:rPr>
        <w:t>试点证书范围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6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职业技能等级证书信息管理服务平台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sz w:val="32"/>
          <w:szCs w:val="32"/>
        </w:rPr>
        <w:t>网址：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 w:bidi="en-US"/>
        </w:rPr>
        <w:t>https://vslc.ncb.edu.cn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发布的第一、二、三、四批</w:t>
      </w:r>
      <w:r>
        <w:rPr>
          <w:rFonts w:ascii="Times New Roman" w:hAnsi="Times New Roman" w:eastAsia="仿宋_GB2312" w:cs="Times New Roman"/>
          <w:sz w:val="32"/>
          <w:szCs w:val="32"/>
        </w:rPr>
        <w:t>所有证书。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13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60"/>
        <w:jc w:val="both"/>
        <w:textAlignment w:val="auto"/>
        <w:rPr>
          <w:rFonts w:ascii="黑体" w:hAnsi="黑体" w:eastAsia="黑体" w:cs="Times New Roman"/>
          <w:sz w:val="32"/>
          <w:szCs w:val="32"/>
        </w:rPr>
      </w:pPr>
      <w:bookmarkStart w:id="4" w:name="bookmark7"/>
      <w:r>
        <w:rPr>
          <w:rFonts w:ascii="黑体" w:hAnsi="黑体" w:eastAsia="黑体" w:cs="Times New Roman"/>
          <w:sz w:val="32"/>
          <w:szCs w:val="32"/>
        </w:rPr>
        <w:t>二</w:t>
      </w:r>
      <w:bookmarkEnd w:id="4"/>
      <w:r>
        <w:rPr>
          <w:rFonts w:ascii="黑体" w:hAnsi="黑体" w:eastAsia="黑体" w:cs="Times New Roman"/>
          <w:sz w:val="32"/>
          <w:szCs w:val="32"/>
        </w:rPr>
        <w:t>、</w:t>
      </w:r>
      <w:r>
        <w:rPr>
          <w:rFonts w:ascii="黑体" w:hAnsi="黑体" w:eastAsia="黑体" w:cs="Times New Roman"/>
          <w:sz w:val="32"/>
          <w:szCs w:val="32"/>
        </w:rPr>
        <w:tab/>
      </w:r>
      <w:r>
        <w:rPr>
          <w:rFonts w:ascii="黑体" w:hAnsi="黑体" w:eastAsia="黑体" w:cs="Times New Roman"/>
          <w:sz w:val="32"/>
          <w:szCs w:val="32"/>
        </w:rPr>
        <w:t>试点院校范围和条件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6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试点院校以高等职业学校、中等职业学校（不含技工学校）为主，本科层次职业教育试点学校、应用型本科高校及国家开放大学等积极参与。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试点院校</w:t>
      </w:r>
      <w:r>
        <w:rPr>
          <w:rFonts w:ascii="Times New Roman" w:hAnsi="Times New Roman" w:eastAsia="仿宋_GB2312" w:cs="Times New Roman"/>
          <w:sz w:val="32"/>
          <w:szCs w:val="32"/>
        </w:rPr>
        <w:t>一般应具备以下条件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0" w:firstLineChars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bookmarkStart w:id="5" w:name="bookmark8"/>
      <w:bookmarkEnd w:id="5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开设有与拟参与试点证书对应的专业（方向），近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三</w:t>
      </w:r>
      <w:r>
        <w:rPr>
          <w:rFonts w:ascii="Times New Roman" w:hAnsi="Times New Roman" w:eastAsia="仿宋_GB2312" w:cs="Times New Roman"/>
          <w:sz w:val="32"/>
          <w:szCs w:val="32"/>
        </w:rPr>
        <w:t>年连续招生，具备一定相关领域职业培训经验。</w:t>
      </w:r>
      <w:bookmarkStart w:id="6" w:name="bookmark9"/>
      <w:bookmarkEnd w:id="6"/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3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20" w:firstLineChars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拟参与试点的专业建设基础好，人才培养质量高，贯彻落实职业教育国家教学标准有力，有较为完备的专业人才培养方案和满足教学、培训需要的教学资源。</w:t>
      </w:r>
      <w:bookmarkStart w:id="16" w:name="_GoBack"/>
      <w:bookmarkEnd w:id="16"/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1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60" w:firstLineChars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bookmarkStart w:id="7" w:name="bookmark10"/>
      <w:bookmarkEnd w:id="7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>拟参与试点的培训团队有具备培训能力的专兼职师资队伍，其中</w:t>
      </w:r>
      <w:r>
        <w:rPr>
          <w:rFonts w:ascii="Times New Roman" w:hAnsi="Times New Roman" w:eastAsia="仿宋_GB2312" w:cs="Times New Roman"/>
          <w:sz w:val="32"/>
          <w:szCs w:val="32"/>
          <w:lang w:val="zh-CN" w:eastAsia="zh-CN" w:bidi="zh-CN"/>
        </w:rPr>
        <w:t>“双</w:t>
      </w:r>
      <w:r>
        <w:rPr>
          <w:rFonts w:ascii="Times New Roman" w:hAnsi="Times New Roman" w:eastAsia="仿宋_GB2312" w:cs="Times New Roman"/>
          <w:sz w:val="32"/>
          <w:szCs w:val="32"/>
        </w:rPr>
        <w:t>师型”教师不少于50%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行业企业专家比例不低于20%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具有满足模块化教学需要的结构化教师教学团队。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2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60" w:firstLineChars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bookmarkStart w:id="8" w:name="bookmark11"/>
      <w:bookmarkEnd w:id="8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具备满足证书培训需要的教学条件和实习实训设施设备。有关设施设备可通过租用等方式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与有关企业、基地和院校合理共用。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58" w:firstLineChars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bookmarkStart w:id="9" w:name="bookmark12"/>
      <w:bookmarkEnd w:id="9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制度体系健全，教学管理规范，团队保障有力。</w:t>
      </w:r>
      <w:bookmarkStart w:id="10" w:name="bookmark13"/>
    </w:p>
    <w:p>
      <w:pPr>
        <w:pStyle w:val="12"/>
        <w:keepNext w:val="0"/>
        <w:keepLines w:val="0"/>
        <w:pageBreakBefore w:val="0"/>
        <w:widowControl w:val="0"/>
        <w:tabs>
          <w:tab w:val="left" w:pos="10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60" w:firstLine="0"/>
        <w:jc w:val="both"/>
        <w:textAlignment w:val="auto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三</w:t>
      </w:r>
      <w:bookmarkEnd w:id="10"/>
      <w:r>
        <w:rPr>
          <w:rFonts w:ascii="黑体" w:hAnsi="黑体" w:eastAsia="黑体" w:cs="Times New Roman"/>
          <w:sz w:val="32"/>
          <w:szCs w:val="32"/>
        </w:rPr>
        <w:t>、工作要求及进度安排</w:t>
      </w:r>
      <w:bookmarkStart w:id="11" w:name="bookmark14"/>
      <w:bookmarkEnd w:id="11"/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58" w:firstLineChars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符合试点条件的院校要高度重视此项工作，切实把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 w:bidi="en-US"/>
        </w:rPr>
        <w:t>1+X</w:t>
      </w:r>
      <w:r>
        <w:rPr>
          <w:rFonts w:ascii="Times New Roman" w:hAnsi="Times New Roman" w:eastAsia="仿宋_GB2312" w:cs="Times New Roman"/>
          <w:sz w:val="32"/>
          <w:szCs w:val="32"/>
        </w:rPr>
        <w:t>证书制度试点工作作为深化职业教育改革、提高人才培养质量、拓展就业本领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重要抓手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做好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本年度组织工作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58" w:firstLineChars="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试点申报工作本年度原则上只开展一次，本次申报后不再组织第二次，上一年度</w:t>
      </w:r>
      <w:r>
        <w:rPr>
          <w:rFonts w:ascii="Times New Roman" w:hAnsi="Times New Roman" w:eastAsia="仿宋_GB2312" w:cs="Times New Roman"/>
          <w:sz w:val="32"/>
          <w:szCs w:val="32"/>
        </w:rPr>
        <w:t>所有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申报</w:t>
      </w:r>
      <w:r>
        <w:rPr>
          <w:rFonts w:ascii="Times New Roman" w:hAnsi="Times New Roman" w:eastAsia="仿宋_GB2312" w:cs="Times New Roman"/>
          <w:sz w:val="32"/>
          <w:szCs w:val="32"/>
        </w:rPr>
        <w:t>计划均不再沿用，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须</w:t>
      </w:r>
      <w:r>
        <w:rPr>
          <w:rFonts w:ascii="Times New Roman" w:hAnsi="Times New Roman" w:eastAsia="仿宋_GB2312" w:cs="Times New Roman"/>
          <w:sz w:val="32"/>
          <w:szCs w:val="32"/>
        </w:rPr>
        <w:t>重新申报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58" w:firstLineChars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bookmarkStart w:id="12" w:name="bookmark15"/>
      <w:bookmarkEnd w:id="12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3.</w:t>
      </w:r>
      <w:r>
        <w:rPr>
          <w:rFonts w:ascii="Times New Roman" w:hAnsi="Times New Roman" w:eastAsia="仿宋_GB2312" w:cs="Times New Roman"/>
          <w:sz w:val="32"/>
          <w:szCs w:val="32"/>
        </w:rPr>
        <w:t>院校要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结合往年实际情况，</w:t>
      </w:r>
      <w:r>
        <w:rPr>
          <w:rFonts w:ascii="Times New Roman" w:hAnsi="Times New Roman" w:eastAsia="仿宋_GB2312" w:cs="Times New Roman"/>
          <w:sz w:val="32"/>
          <w:szCs w:val="32"/>
        </w:rPr>
        <w:t>与培训评价组织进行对接，深入了解证书内涵、职业技能等级标准、培训考核条件建设等，结合我市产业经济发展需求与本校专业（群）布局，充分发挥院校有关专家组织的作用，自主论证遴选产业契合度高、企业广泛认可的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X</w:t>
      </w:r>
      <w:r>
        <w:rPr>
          <w:rFonts w:ascii="Times New Roman" w:hAnsi="Times New Roman" w:eastAsia="仿宋_GB2312" w:cs="Times New Roman"/>
          <w:sz w:val="32"/>
          <w:szCs w:val="32"/>
        </w:rPr>
        <w:t>证书开展试点工作。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58" w:firstLineChars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bookmarkStart w:id="13" w:name="bookmark16"/>
      <w:bookmarkEnd w:id="13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所有申报证书均需参照模板（见附件）制订试点工作方案（一证书一方案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方案为PDF格式</w:t>
      </w:r>
      <w:r>
        <w:rPr>
          <w:rFonts w:ascii="Times New Roman" w:hAnsi="Times New Roman" w:eastAsia="仿宋_GB2312" w:cs="Times New Roman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工作方案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须由</w:t>
      </w:r>
      <w:r>
        <w:rPr>
          <w:rFonts w:ascii="Times New Roman" w:hAnsi="Times New Roman" w:eastAsia="仿宋_GB2312" w:cs="Times New Roman"/>
          <w:sz w:val="32"/>
          <w:szCs w:val="32"/>
        </w:rPr>
        <w:t>学校主要负责人签字并加盖学校公章。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58" w:firstLineChars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bookmarkStart w:id="14" w:name="bookmark17"/>
      <w:bookmarkEnd w:id="14"/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5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试点院校的申报通过</w:t>
      </w:r>
      <w:r>
        <w:rPr>
          <w:rFonts w:ascii="Times New Roman" w:hAnsi="Times New Roman" w:eastAsia="仿宋_GB2312" w:cs="Times New Roman"/>
          <w:sz w:val="32"/>
          <w:szCs w:val="32"/>
          <w:lang w:val="zh-CN" w:bidi="zh-CN"/>
        </w:rPr>
        <w:t>职业</w:t>
      </w:r>
      <w:r>
        <w:rPr>
          <w:rFonts w:ascii="Times New Roman" w:hAnsi="Times New Roman" w:eastAsia="仿宋_GB2312" w:cs="Times New Roman"/>
          <w:sz w:val="32"/>
          <w:szCs w:val="32"/>
        </w:rPr>
        <w:t>技能等级证书信息管理服务平台完成</w:t>
      </w:r>
      <w:r>
        <w:rPr>
          <w:rFonts w:ascii="Times New Roman" w:hAnsi="Times New Roman" w:eastAsia="仿宋_GB2312" w:cs="Times New Roman"/>
          <w:sz w:val="32"/>
          <w:szCs w:val="32"/>
          <w:lang w:val="en-US" w:bidi="en-US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申报系统开放时间为3月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日—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线上申请备案的院校名单经市教委审核确认后，将在平台自动生成。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6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市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 w:bidi="en-US"/>
        </w:rPr>
        <w:t>1+X</w:t>
      </w:r>
      <w:r>
        <w:rPr>
          <w:rFonts w:ascii="Times New Roman" w:hAnsi="Times New Roman" w:eastAsia="仿宋_GB2312" w:cs="Times New Roman"/>
          <w:sz w:val="32"/>
          <w:szCs w:val="32"/>
        </w:rPr>
        <w:t>项目办联系人：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田苗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jc w:val="both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eastAsia="仿宋_GB2312"/>
        </w:rPr>
        <w:t>联系电话：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58119291    18622220630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jc w:val="both"/>
        <w:textAlignment w:val="auto"/>
        <w:rPr>
          <w:rFonts w:eastAsia="仿宋_GB2312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tabs>
          <w:tab w:val="left" w:pos="168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12"/>
        <w:keepNext w:val="0"/>
        <w:keepLines w:val="0"/>
        <w:pageBreakBefore w:val="0"/>
        <w:widowControl w:val="0"/>
        <w:tabs>
          <w:tab w:val="left" w:pos="168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bookmarkStart w:id="15" w:name="bookmark21"/>
      <w:bookmarkEnd w:id="15"/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1+X</w:t>
      </w:r>
      <w:r>
        <w:rPr>
          <w:rFonts w:ascii="Times New Roman" w:hAnsi="Times New Roman" w:eastAsia="仿宋_GB2312" w:cs="Times New Roman"/>
          <w:sz w:val="32"/>
          <w:szCs w:val="32"/>
        </w:rPr>
        <w:t>证书试点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ascii="Times New Roman" w:hAnsi="Times New Roman" w:eastAsia="仿宋_GB2312" w:cs="Times New Roman"/>
          <w:sz w:val="32"/>
          <w:szCs w:val="32"/>
        </w:rPr>
        <w:t>方案模板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2" w:firstLineChars="200"/>
        <w:jc w:val="both"/>
        <w:textAlignment w:val="auto"/>
        <w:rPr>
          <w:rFonts w:hint="eastAsia" w:ascii="Times New Roman" w:hAnsi="Times New Roman" w:eastAsia="PMingLiU" w:cs="Times New Roman"/>
          <w:sz w:val="32"/>
          <w:szCs w:val="32"/>
        </w:rPr>
      </w:pP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jc w:val="both"/>
        <w:textAlignment w:val="auto"/>
        <w:rPr>
          <w:rFonts w:eastAsia="仿宋_GB2312"/>
          <w:lang w:val="en-US" w:eastAsia="zh-CN"/>
        </w:rPr>
      </w:pP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jc w:val="both"/>
        <w:textAlignment w:val="auto"/>
        <w:rPr>
          <w:rFonts w:eastAsia="仿宋_GB2312"/>
          <w:lang w:val="en-US" w:eastAsia="zh-CN"/>
        </w:rPr>
      </w:pP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jc w:val="right"/>
        <w:textAlignment w:val="auto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4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年3月</w:t>
      </w:r>
      <w:r>
        <w:rPr>
          <w:rFonts w:hint="eastAsia" w:eastAsia="仿宋_GB2312" w:cs="Times New Roman"/>
          <w:color w:val="000000"/>
          <w:kern w:val="0"/>
          <w:sz w:val="32"/>
          <w:szCs w:val="32"/>
          <w:lang w:val="en-US" w:eastAsia="zh-CN" w:bidi="ar-SA"/>
        </w:rPr>
        <w:t xml:space="preserve"> 6 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日</w:t>
      </w: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18"/>
        <w:snapToGrid w:val="0"/>
        <w:spacing w:after="0" w:line="540" w:lineRule="exact"/>
        <w:jc w:val="right"/>
        <w:rPr>
          <w:rFonts w:eastAsia="仿宋_GB2312"/>
          <w:lang w:val="en-US" w:eastAsia="zh-CN"/>
        </w:rPr>
      </w:pPr>
    </w:p>
    <w:p>
      <w:pPr>
        <w:pStyle w:val="6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</w:t>
      </w:r>
    </w:p>
    <w:p>
      <w:pPr>
        <w:pStyle w:val="6"/>
        <w:rPr>
          <w:rFonts w:hint="eastAsia" w:ascii="黑体" w:hAnsi="黑体" w:eastAsia="黑体"/>
          <w:sz w:val="44"/>
          <w:szCs w:val="44"/>
        </w:rPr>
      </w:pPr>
    </w:p>
    <w:p>
      <w:pPr>
        <w:pStyle w:val="6"/>
        <w:rPr>
          <w:rFonts w:hint="eastAsia" w:ascii="黑体" w:hAnsi="黑体" w:eastAsia="黑体"/>
          <w:sz w:val="44"/>
          <w:szCs w:val="44"/>
        </w:rPr>
      </w:pPr>
    </w:p>
    <w:p>
      <w:pPr>
        <w:pStyle w:val="6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天津市XXX学校</w:t>
      </w:r>
    </w:p>
    <w:p>
      <w:pPr>
        <w:pStyle w:val="6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XXX职业技能等级证书</w:t>
      </w:r>
    </w:p>
    <w:p>
      <w:pPr>
        <w:pStyle w:val="6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试点工作方案</w:t>
      </w: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p>
      <w:pPr>
        <w:rPr>
          <w:rFonts w:hint="eastAsia" w:ascii="黑体" w:hAnsi="黑体" w:eastAsia="黑体"/>
          <w:sz w:val="36"/>
          <w:szCs w:val="36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6" w:type="dxa"/>
            <w:noWrap w:val="0"/>
            <w:vAlign w:val="top"/>
          </w:tcPr>
          <w:p>
            <w:pPr>
              <w:spacing w:line="600" w:lineRule="exact"/>
              <w:outlineLvl w:val="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申报试点证书名称（等级）：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 xml:space="preserve">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6" w:type="dxa"/>
            <w:noWrap w:val="0"/>
            <w:vAlign w:val="top"/>
          </w:tcPr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申报批次：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</w:rPr>
              <w:t xml:space="preserve">  202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</w:rPr>
              <w:t xml:space="preserve">年第一次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6" w:type="dxa"/>
            <w:noWrap w:val="0"/>
            <w:vAlign w:val="top"/>
          </w:tcPr>
          <w:p>
            <w:pPr>
              <w:spacing w:line="560" w:lineRule="exact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拟申报试点专业（专业代码）：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6" w:type="dxa"/>
            <w:noWrap w:val="0"/>
            <w:vAlign w:val="top"/>
          </w:tcPr>
          <w:p>
            <w:pPr>
              <w:spacing w:line="600" w:lineRule="exact"/>
              <w:outlineLvl w:val="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试点专业在校学生数：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6" w:type="dxa"/>
            <w:noWrap w:val="0"/>
            <w:vAlign w:val="top"/>
          </w:tcPr>
          <w:p>
            <w:pPr>
              <w:spacing w:line="600" w:lineRule="exact"/>
              <w:outlineLvl w:val="0"/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试点专业专任教师数：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6" w:type="dxa"/>
            <w:noWrap w:val="0"/>
            <w:vAlign w:val="top"/>
          </w:tcPr>
          <w:p>
            <w:pPr>
              <w:spacing w:line="600" w:lineRule="exact"/>
              <w:outlineLvl w:val="0"/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申请培训人数：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</w:rPr>
              <w:t xml:space="preserve">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6" w:type="dxa"/>
            <w:noWrap w:val="0"/>
            <w:vAlign w:val="top"/>
          </w:tcPr>
          <w:p>
            <w:pPr>
              <w:spacing w:line="600" w:lineRule="exact"/>
              <w:outlineLvl w:val="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试点院校（盖章）：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</w:rPr>
              <w:t xml:space="preserve">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6" w:type="dxa"/>
            <w:noWrap w:val="0"/>
            <w:vAlign w:val="top"/>
          </w:tcPr>
          <w:p>
            <w:pPr>
              <w:spacing w:line="600" w:lineRule="exact"/>
              <w:outlineLvl w:val="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试点工作负责人（电话）：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u w:val="single"/>
              </w:rPr>
              <w:t xml:space="preserve">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6" w:type="dxa"/>
            <w:noWrap w:val="0"/>
            <w:vAlign w:val="top"/>
          </w:tcPr>
          <w:p>
            <w:pPr>
              <w:spacing w:line="600" w:lineRule="exact"/>
              <w:outlineLvl w:val="0"/>
              <w:rPr>
                <w:rFonts w:hint="default" w:ascii="Times New Roman" w:hAnsi="Times New Roman" w:eastAsia="仿宋_GB2312" w:cs="Times New Roman"/>
                <w:sz w:val="32"/>
                <w:szCs w:val="3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制定日期：</w:t>
            </w:r>
            <w:r>
              <w:rPr>
                <w:rFonts w:hint="default" w:ascii="Times New Roman" w:hAnsi="Times New Roman" w:eastAsia="仿宋_GB2312" w:cs="Times New Roman"/>
                <w:spacing w:val="-10"/>
                <w:kern w:val="0"/>
                <w:sz w:val="32"/>
                <w:szCs w:val="32"/>
                <w:u w:val="single"/>
              </w:rPr>
              <w:t xml:space="preserve">                                                      </w:t>
            </w:r>
          </w:p>
        </w:tc>
      </w:tr>
    </w:tbl>
    <w:p>
      <w:pPr>
        <w:ind w:firstLine="643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一、指导思想和基本原则</w:t>
      </w:r>
    </w:p>
    <w:p>
      <w:pPr>
        <w:ind w:firstLine="602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二、试点工作目标</w:t>
      </w:r>
    </w:p>
    <w:p>
      <w:pPr>
        <w:spacing w:line="560" w:lineRule="exact"/>
        <w:ind w:firstLine="602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三、试点工作基础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请注意：在满足教育部一般性要求基础上，也要满足该试点证书有关试点事项说明的申报要求。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（一）学校情况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（二）专业建设基本情况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突出近3年连续招生。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师资队伍情况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其中“双师型”教师不少于50%，行业企业专家比例不低于20%。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）教学资源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）实训条件</w:t>
      </w:r>
    </w:p>
    <w:p>
      <w:pPr>
        <w:numPr>
          <w:ilvl w:val="0"/>
          <w:numId w:val="0"/>
        </w:numPr>
        <w:ind w:firstLine="602" w:firstLineChars="200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en-US" w:bidi="en-US"/>
        </w:rPr>
        <w:t>（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zh-CN" w:bidi="en-US"/>
        </w:rPr>
        <w:t>六</w:t>
      </w:r>
      <w:r>
        <w:rPr>
          <w:rFonts w:hint="default" w:ascii="Times New Roman" w:hAnsi="Times New Roman" w:eastAsia="仿宋_GB2312" w:cs="Times New Roman"/>
          <w:bCs/>
          <w:color w:val="000000"/>
          <w:sz w:val="32"/>
          <w:szCs w:val="32"/>
          <w:lang w:val="en-US" w:eastAsia="en-US" w:bidi="en-US"/>
        </w:rPr>
        <w:t>）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制度建设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包括制度体系健全、教学管理规范、团队保障有力等方面。</w:t>
      </w:r>
    </w:p>
    <w:p>
      <w:pPr>
        <w:numPr>
          <w:ilvl w:val="0"/>
          <w:numId w:val="1"/>
        </w:numPr>
        <w:ind w:firstLine="602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组织实施</w:t>
      </w:r>
    </w:p>
    <w:p>
      <w:pPr>
        <w:ind w:firstLine="602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包括证书融入人才培养方案、实施高质量培训、加强实训条件建设、加强师资建设、考点建设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探索职业教育国家“学分银行”建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设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等方面。</w:t>
      </w:r>
    </w:p>
    <w:p>
      <w:pPr>
        <w:numPr>
          <w:ilvl w:val="0"/>
          <w:numId w:val="2"/>
        </w:numPr>
        <w:ind w:firstLine="602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保障措施</w:t>
      </w:r>
    </w:p>
    <w:p>
      <w:pPr>
        <w:ind w:firstLine="602" w:firstLineChars="20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包括组织、制度、技术、资金等方面。</w:t>
      </w:r>
    </w:p>
    <w:p>
      <w:pPr>
        <w:pStyle w:val="12"/>
        <w:snapToGrid w:val="0"/>
        <w:spacing w:line="540" w:lineRule="exact"/>
        <w:ind w:left="864" w:leftChars="391" w:firstLine="0"/>
        <w:jc w:val="both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5" w:type="default"/>
      <w:footerReference r:id="rId6" w:type="even"/>
      <w:pgSz w:w="11900" w:h="16840"/>
      <w:pgMar w:top="2098" w:right="1531" w:bottom="2098" w:left="1531" w:header="850" w:footer="1701" w:gutter="0"/>
      <w:pgNumType w:fmt="numberInDash" w:start="1"/>
      <w:cols w:space="720" w:num="1"/>
      <w:docGrid w:type="linesAndChars" w:linePitch="328" w:charSpace="-39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55833000"/>
      <w:docPartObj>
        <w:docPartGallery w:val="autotext"/>
      </w:docPartObj>
    </w:sdtPr>
    <w:sdtEndPr>
      <w:rPr>
        <w:rFonts w:hint="eastAsia" w:ascii="宋体" w:hAnsi="宋体" w:eastAsia="宋体" w:cs="宋体"/>
        <w:sz w:val="28"/>
        <w:szCs w:val="28"/>
      </w:rPr>
    </w:sdtEndPr>
    <w:sdtContent>
      <w:p>
        <w:pPr>
          <w:pStyle w:val="4"/>
          <w:jc w:val="center"/>
          <w:rPr>
            <w:rFonts w:hint="eastAsia" w:ascii="宋体" w:hAnsi="宋体" w:eastAsia="宋体" w:cs="宋体"/>
            <w:sz w:val="28"/>
            <w:szCs w:val="28"/>
          </w:rPr>
        </w:pPr>
        <w:r>
          <w:rPr>
            <w:rFonts w:hint="eastAsia" w:ascii="宋体" w:hAnsi="宋体" w:eastAsia="宋体" w:cs="宋体"/>
            <w:sz w:val="28"/>
            <w:szCs w:val="28"/>
          </w:rPr>
          <w:fldChar w:fldCharType="begin"/>
        </w:r>
        <w:r>
          <w:rPr>
            <w:rFonts w:hint="eastAsia" w:ascii="宋体" w:hAnsi="宋体" w:eastAsia="宋体" w:cs="宋体"/>
            <w:sz w:val="28"/>
            <w:szCs w:val="28"/>
          </w:rPr>
          <w:instrText xml:space="preserve">PAGE   \* MERGEFORMAT</w:instrText>
        </w:r>
        <w:r>
          <w:rPr>
            <w:rFonts w:hint="eastAsia" w:ascii="宋体" w:hAnsi="宋体" w:eastAsia="宋体" w:cs="宋体"/>
            <w:sz w:val="28"/>
            <w:szCs w:val="28"/>
          </w:rPr>
          <w:fldChar w:fldCharType="separate"/>
        </w:r>
        <w:r>
          <w:rPr>
            <w:rFonts w:hint="eastAsia" w:ascii="宋体" w:hAnsi="宋体" w:eastAsia="宋体" w:cs="宋体"/>
            <w:sz w:val="28"/>
            <w:szCs w:val="28"/>
            <w:lang w:val="zh-CN" w:eastAsia="zh-CN"/>
          </w:rPr>
          <w:t>-</w:t>
        </w:r>
        <w:r>
          <w:rPr>
            <w:rFonts w:hint="eastAsia" w:ascii="宋体" w:hAnsi="宋体" w:eastAsia="宋体" w:cs="宋体"/>
            <w:sz w:val="28"/>
            <w:szCs w:val="28"/>
          </w:rPr>
          <w:t xml:space="preserve"> 3 -</w:t>
        </w:r>
        <w:r>
          <w:rPr>
            <w:rFonts w:hint="eastAsia" w:ascii="宋体" w:hAnsi="宋体" w:eastAsia="宋体" w:cs="宋体"/>
            <w:sz w:val="28"/>
            <w:szCs w:val="28"/>
          </w:rPr>
          <w:fldChar w:fldCharType="end"/>
        </w:r>
      </w:p>
    </w:sdtContent>
  </w:sdt>
  <w:p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rPr>
        <w:lang w:eastAsia="zh-CN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3718560</wp:posOffset>
              </wp:positionH>
              <wp:positionV relativeFrom="page">
                <wp:posOffset>9798050</wp:posOffset>
              </wp:positionV>
              <wp:extent cx="45720" cy="774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77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6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292.8pt;margin-top:771.5pt;height:6.1pt;width:3.6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wOJNG1wAAAA0B&#10;AAAPAAAAAAAAAAEAIAAAACIAAABkcnMvZG93bnJldi54bWxQSwECFAAUAAAACACHTuJAIFKp0aoB&#10;AABtAwAADgAAAAAAAAABACAAAAAm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8881C"/>
    <w:multiLevelType w:val="singleLevel"/>
    <w:tmpl w:val="0448881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84F7A80"/>
    <w:multiLevelType w:val="singleLevel"/>
    <w:tmpl w:val="384F7A8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21"/>
  <w:drawingGridVerticalSpacing w:val="164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3MjZkYWE2ZGM4MTUxZmJiZTA4ODYzOWZiNWU4NzgifQ=="/>
  </w:docVars>
  <w:rsids>
    <w:rsidRoot w:val="00BD6680"/>
    <w:rsid w:val="001F18CE"/>
    <w:rsid w:val="002F5994"/>
    <w:rsid w:val="004B2E87"/>
    <w:rsid w:val="0052768A"/>
    <w:rsid w:val="005B6D83"/>
    <w:rsid w:val="00635935"/>
    <w:rsid w:val="00852ABD"/>
    <w:rsid w:val="00974468"/>
    <w:rsid w:val="00A45E1C"/>
    <w:rsid w:val="00A50031"/>
    <w:rsid w:val="00A60A55"/>
    <w:rsid w:val="00A65FC9"/>
    <w:rsid w:val="00AA43A8"/>
    <w:rsid w:val="00B2426D"/>
    <w:rsid w:val="00B42AE3"/>
    <w:rsid w:val="00B74514"/>
    <w:rsid w:val="00B95EF3"/>
    <w:rsid w:val="00BD6680"/>
    <w:rsid w:val="00BE52E8"/>
    <w:rsid w:val="00CA273F"/>
    <w:rsid w:val="00EE3AED"/>
    <w:rsid w:val="00FF07F1"/>
    <w:rsid w:val="03F25D34"/>
    <w:rsid w:val="08E6788B"/>
    <w:rsid w:val="0CAF7231"/>
    <w:rsid w:val="0CBC5439"/>
    <w:rsid w:val="0F1B75AB"/>
    <w:rsid w:val="0F42625B"/>
    <w:rsid w:val="10E73A25"/>
    <w:rsid w:val="113556FF"/>
    <w:rsid w:val="1660244C"/>
    <w:rsid w:val="17515952"/>
    <w:rsid w:val="17653B47"/>
    <w:rsid w:val="18D85208"/>
    <w:rsid w:val="19471D0F"/>
    <w:rsid w:val="1C980A44"/>
    <w:rsid w:val="20BC3CBC"/>
    <w:rsid w:val="21725D08"/>
    <w:rsid w:val="274F012A"/>
    <w:rsid w:val="293F41A2"/>
    <w:rsid w:val="29C37F84"/>
    <w:rsid w:val="2BBF001B"/>
    <w:rsid w:val="32C43EEA"/>
    <w:rsid w:val="35505F08"/>
    <w:rsid w:val="35FC1BEC"/>
    <w:rsid w:val="36395A49"/>
    <w:rsid w:val="36DE4532"/>
    <w:rsid w:val="3E3E3CD3"/>
    <w:rsid w:val="43C4699B"/>
    <w:rsid w:val="492732ED"/>
    <w:rsid w:val="4B7A086D"/>
    <w:rsid w:val="4B920F1E"/>
    <w:rsid w:val="4DB131F0"/>
    <w:rsid w:val="4F8627FB"/>
    <w:rsid w:val="523B5CDD"/>
    <w:rsid w:val="58D96EEB"/>
    <w:rsid w:val="5A9E2D89"/>
    <w:rsid w:val="5E2C3A7B"/>
    <w:rsid w:val="5E842434"/>
    <w:rsid w:val="5E8B1BDC"/>
    <w:rsid w:val="5EA42C9D"/>
    <w:rsid w:val="5ED879CC"/>
    <w:rsid w:val="5EFB03E4"/>
    <w:rsid w:val="62A42563"/>
    <w:rsid w:val="6FEF7AF1"/>
    <w:rsid w:val="764F5B57"/>
    <w:rsid w:val="76C53359"/>
    <w:rsid w:val="79485F14"/>
    <w:rsid w:val="7C377E45"/>
    <w:rsid w:val="7DD87E16"/>
    <w:rsid w:val="7ECF0D7B"/>
    <w:rsid w:val="7F2B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semiHidden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21"/>
    <w:uiPriority w:val="0"/>
    <w:rPr>
      <w:sz w:val="18"/>
      <w:szCs w:val="18"/>
    </w:rPr>
  </w:style>
  <w:style w:type="paragraph" w:styleId="4">
    <w:name w:val="footer"/>
    <w:basedOn w:val="1"/>
    <w:link w:val="20"/>
    <w:autoRedefine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9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autoRedefine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9">
    <w:name w:val="Heading #1|1_"/>
    <w:basedOn w:val="8"/>
    <w:link w:val="10"/>
    <w:autoRedefine/>
    <w:qFormat/>
    <w:uiPriority w:val="0"/>
    <w:rPr>
      <w:rFonts w:ascii="宋体" w:hAnsi="宋体" w:eastAsia="宋体" w:cs="宋体"/>
      <w:color w:val="F66B7A"/>
      <w:sz w:val="82"/>
      <w:szCs w:val="82"/>
      <w:u w:val="none"/>
      <w:shd w:val="clear" w:color="auto" w:fill="auto"/>
      <w:lang w:val="zh-TW" w:eastAsia="zh-TW" w:bidi="zh-TW"/>
    </w:rPr>
  </w:style>
  <w:style w:type="paragraph" w:customStyle="1" w:styleId="10">
    <w:name w:val="Heading #1|1"/>
    <w:basedOn w:val="1"/>
    <w:link w:val="9"/>
    <w:autoRedefine/>
    <w:qFormat/>
    <w:uiPriority w:val="0"/>
    <w:pPr>
      <w:spacing w:before="100" w:after="740"/>
      <w:ind w:firstLine="160"/>
      <w:outlineLvl w:val="0"/>
    </w:pPr>
    <w:rPr>
      <w:rFonts w:ascii="宋体" w:hAnsi="宋体" w:eastAsia="宋体" w:cs="宋体"/>
      <w:color w:val="F66B7A"/>
      <w:sz w:val="82"/>
      <w:szCs w:val="82"/>
      <w:lang w:val="zh-TW" w:eastAsia="zh-TW" w:bidi="zh-TW"/>
    </w:rPr>
  </w:style>
  <w:style w:type="character" w:customStyle="1" w:styleId="11">
    <w:name w:val="Body text|1_"/>
    <w:basedOn w:val="8"/>
    <w:link w:val="12"/>
    <w:autoRedefine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2">
    <w:name w:val="Body text|1"/>
    <w:basedOn w:val="1"/>
    <w:link w:val="11"/>
    <w:autoRedefine/>
    <w:qFormat/>
    <w:uiPriority w:val="0"/>
    <w:pPr>
      <w:spacing w:line="374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3">
    <w:name w:val="Heading #2|1_"/>
    <w:basedOn w:val="8"/>
    <w:link w:val="14"/>
    <w:autoRedefine/>
    <w:qFormat/>
    <w:uiPriority w:val="0"/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14">
    <w:name w:val="Heading #2|1"/>
    <w:basedOn w:val="1"/>
    <w:link w:val="13"/>
    <w:autoRedefine/>
    <w:qFormat/>
    <w:uiPriority w:val="0"/>
    <w:pPr>
      <w:spacing w:after="260" w:line="569" w:lineRule="exact"/>
      <w:jc w:val="center"/>
      <w:outlineLvl w:val="1"/>
    </w:pPr>
    <w:rPr>
      <w:rFonts w:ascii="宋体" w:hAnsi="宋体" w:eastAsia="宋体" w:cs="宋体"/>
      <w:sz w:val="44"/>
      <w:szCs w:val="44"/>
      <w:lang w:val="zh-TW" w:eastAsia="zh-TW" w:bidi="zh-TW"/>
    </w:rPr>
  </w:style>
  <w:style w:type="character" w:customStyle="1" w:styleId="15">
    <w:name w:val="Header or footer|2_"/>
    <w:basedOn w:val="8"/>
    <w:link w:val="16"/>
    <w:autoRedefine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6">
    <w:name w:val="Header or footer|2"/>
    <w:basedOn w:val="1"/>
    <w:link w:val="15"/>
    <w:autoRedefine/>
    <w:qFormat/>
    <w:uiPriority w:val="0"/>
    <w:rPr>
      <w:sz w:val="20"/>
      <w:szCs w:val="20"/>
      <w:lang w:val="zh-TW" w:eastAsia="zh-TW" w:bidi="zh-TW"/>
    </w:rPr>
  </w:style>
  <w:style w:type="character" w:customStyle="1" w:styleId="17">
    <w:name w:val="Body text|2_"/>
    <w:basedOn w:val="8"/>
    <w:link w:val="18"/>
    <w:autoRedefine/>
    <w:qFormat/>
    <w:uiPriority w:val="0"/>
    <w:rPr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8">
    <w:name w:val="Body text|2"/>
    <w:basedOn w:val="1"/>
    <w:link w:val="17"/>
    <w:autoRedefine/>
    <w:qFormat/>
    <w:uiPriority w:val="0"/>
    <w:pPr>
      <w:spacing w:after="540" w:line="556" w:lineRule="exact"/>
      <w:ind w:firstLine="660"/>
    </w:pPr>
    <w:rPr>
      <w:sz w:val="32"/>
      <w:szCs w:val="32"/>
      <w:lang w:val="zh-TW" w:eastAsia="zh-TW" w:bidi="zh-TW"/>
    </w:rPr>
  </w:style>
  <w:style w:type="character" w:customStyle="1" w:styleId="19">
    <w:name w:val="页眉 字符"/>
    <w:basedOn w:val="8"/>
    <w:link w:val="5"/>
    <w:autoRedefine/>
    <w:qFormat/>
    <w:uiPriority w:val="99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20">
    <w:name w:val="页脚 字符"/>
    <w:basedOn w:val="8"/>
    <w:link w:val="4"/>
    <w:autoRedefine/>
    <w:qFormat/>
    <w:uiPriority w:val="99"/>
    <w:rPr>
      <w:rFonts w:eastAsia="Times New Roman"/>
      <w:color w:val="000000"/>
      <w:sz w:val="18"/>
      <w:szCs w:val="18"/>
      <w:lang w:eastAsia="en-US" w:bidi="en-US"/>
    </w:rPr>
  </w:style>
  <w:style w:type="character" w:customStyle="1" w:styleId="21">
    <w:name w:val="批注框文本 字符"/>
    <w:basedOn w:val="8"/>
    <w:link w:val="3"/>
    <w:autoRedefine/>
    <w:qFormat/>
    <w:uiPriority w:val="0"/>
    <w:rPr>
      <w:rFonts w:eastAsia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181</Words>
  <Characters>1034</Characters>
  <Lines>8</Lines>
  <Paragraphs>2</Paragraphs>
  <TotalTime>240</TotalTime>
  <ScaleCrop>false</ScaleCrop>
  <LinksUpToDate>false</LinksUpToDate>
  <CharactersWithSpaces>1213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2023-03-08T01:58:00Z</dcterms:created>
  <dc:creator>test</dc:creator>
  <cp:lastModifiedBy>中职处</cp:lastModifiedBy>
  <cp:lastPrinted>2024-03-06T09:00:36Z</cp:lastPrinted>
  <dcterms:modified xsi:type="dcterms:W3CDTF">2024-03-06T09:06:59Z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6920C5D9F13048DD89FBAFDDE317A2DC_13</vt:lpwstr>
  </property>
</Properties>
</file>